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401C9">
      <w:pPr>
        <w:kinsoku w:val="0"/>
        <w:overflowPunct w:val="0"/>
        <w:autoSpaceDE/>
        <w:autoSpaceDN/>
        <w:adjustRightInd/>
        <w:spacing w:line="262"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RESOLUCION No. TAT-3271-2017</w:t>
      </w:r>
    </w:p>
    <w:p w:rsidR="00000000" w:rsidRDefault="002401C9">
      <w:pPr>
        <w:kinsoku w:val="0"/>
        <w:overflowPunct w:val="0"/>
        <w:autoSpaceDE/>
        <w:autoSpaceDN/>
        <w:adjustRightInd/>
        <w:spacing w:before="549" w:line="281"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trece horas quince minutos del treinta y uno de mayo de dos mil diecisiete.</w:t>
      </w:r>
    </w:p>
    <w:p w:rsidR="00000000" w:rsidRDefault="002401C9">
      <w:pPr>
        <w:kinsoku w:val="0"/>
        <w:overflowPunct w:val="0"/>
        <w:autoSpaceDE/>
        <w:autoSpaceDN/>
        <w:adjustRightInd/>
        <w:spacing w:before="237" w:line="281" w:lineRule="exact"/>
        <w:ind w:right="57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Recurso de Apelación y Nulidad Absoluta Concomitante, presentado por E</w:t>
      </w:r>
      <w:r w:rsidR="00644973">
        <w:rPr>
          <w:rFonts w:ascii="Verdana" w:hAnsi="Verdana" w:cs="Verdana"/>
          <w:b/>
          <w:bCs/>
          <w:sz w:val="22"/>
          <w:szCs w:val="22"/>
          <w:lang w:val="es-ES" w:eastAsia="es-ES"/>
        </w:rPr>
        <w:t>.F.C.M.</w:t>
      </w:r>
      <w:r>
        <w:rPr>
          <w:rFonts w:ascii="Verdana" w:hAnsi="Verdana" w:cs="Verdana"/>
          <w:b/>
          <w:bCs/>
          <w:sz w:val="22"/>
          <w:szCs w:val="22"/>
          <w:lang w:val="es-ES" w:eastAsia="es-ES"/>
        </w:rPr>
        <w:t xml:space="preserve">, cédula de identidad </w:t>
      </w:r>
      <w:r w:rsidR="00644973">
        <w:rPr>
          <w:rFonts w:ascii="Verdana" w:hAnsi="Verdana" w:cs="Verdana"/>
          <w:b/>
          <w:bCs/>
          <w:sz w:val="22"/>
          <w:szCs w:val="22"/>
          <w:lang w:val="es-ES" w:eastAsia="es-ES"/>
        </w:rPr>
        <w:t>…</w:t>
      </w:r>
      <w:r>
        <w:rPr>
          <w:rFonts w:ascii="Verdana" w:hAnsi="Verdana" w:cs="Verdana"/>
          <w:b/>
          <w:bCs/>
          <w:sz w:val="22"/>
          <w:szCs w:val="22"/>
          <w:lang w:val="es-ES" w:eastAsia="es-ES"/>
        </w:rPr>
        <w:t>, contra el Artículo 7.2 de la Sesión Ord</w:t>
      </w:r>
      <w:r>
        <w:rPr>
          <w:rFonts w:ascii="Verdana" w:hAnsi="Verdana" w:cs="Verdana"/>
          <w:b/>
          <w:bCs/>
          <w:sz w:val="22"/>
          <w:szCs w:val="22"/>
          <w:lang w:val="es-ES" w:eastAsia="es-ES"/>
        </w:rPr>
        <w:t xml:space="preserve">inaria 40-2016 del 18 de agosto de 2016, </w:t>
      </w:r>
      <w:r>
        <w:rPr>
          <w:rFonts w:ascii="Verdana" w:hAnsi="Verdana" w:cs="Verdana"/>
          <w:sz w:val="22"/>
          <w:szCs w:val="22"/>
          <w:lang w:val="es-ES" w:eastAsia="es-ES"/>
        </w:rPr>
        <w:t xml:space="preserve">dictado por la JUNTA DIRECTIVA DEL CONSEJO DE TRANSPORTE PÚBLICO. </w:t>
      </w:r>
      <w:r>
        <w:rPr>
          <w:rFonts w:ascii="Verdana" w:hAnsi="Verdana" w:cs="Verdana"/>
          <w:b/>
          <w:bCs/>
          <w:sz w:val="22"/>
          <w:szCs w:val="22"/>
          <w:lang w:val="es-ES" w:eastAsia="es-ES"/>
        </w:rPr>
        <w:t>El caso se tramita en Expediente Administrativo N. TAT-059-17.</w:t>
      </w:r>
    </w:p>
    <w:p w:rsidR="00000000" w:rsidRDefault="002401C9">
      <w:pPr>
        <w:kinsoku w:val="0"/>
        <w:overflowPunct w:val="0"/>
        <w:autoSpaceDE/>
        <w:autoSpaceDN/>
        <w:adjustRightInd/>
        <w:spacing w:before="264" w:line="266"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2401C9">
      <w:pPr>
        <w:kinsoku w:val="0"/>
        <w:overflowPunct w:val="0"/>
        <w:autoSpaceDE/>
        <w:autoSpaceDN/>
        <w:adjustRightInd/>
        <w:spacing w:before="511" w:line="281"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w:t>
      </w:r>
      <w:r>
        <w:rPr>
          <w:rFonts w:ascii="Verdana" w:hAnsi="Verdana" w:cs="Verdana"/>
          <w:b/>
          <w:bCs/>
          <w:sz w:val="22"/>
          <w:szCs w:val="22"/>
          <w:lang w:val="es-ES" w:eastAsia="es-ES"/>
        </w:rPr>
        <w:t>Artículo 7.2</w:t>
      </w:r>
      <w:r>
        <w:rPr>
          <w:rFonts w:ascii="Verdana" w:hAnsi="Verdana" w:cs="Verdana"/>
          <w:b/>
          <w:bCs/>
          <w:sz w:val="22"/>
          <w:szCs w:val="22"/>
          <w:lang w:val="es-ES" w:eastAsia="es-ES"/>
        </w:rPr>
        <w:t xml:space="preserve"> de la Sesión Ordinaria 40-2016 del 18 de agosto de 2016, </w:t>
      </w:r>
      <w:r>
        <w:rPr>
          <w:rFonts w:ascii="Verdana" w:hAnsi="Verdana" w:cs="Verdana"/>
          <w:sz w:val="22"/>
          <w:szCs w:val="22"/>
          <w:lang w:val="es-ES" w:eastAsia="es-ES"/>
        </w:rPr>
        <w:t xml:space="preserve">cancela el derecho de concesión de la placa taxi </w:t>
      </w:r>
      <w:r>
        <w:rPr>
          <w:rFonts w:ascii="Verdana" w:hAnsi="Verdana" w:cs="Verdana"/>
          <w:b/>
          <w:bCs/>
          <w:sz w:val="22"/>
          <w:szCs w:val="22"/>
          <w:lang w:val="es-ES" w:eastAsia="es-ES"/>
        </w:rPr>
        <w:t xml:space="preserve">TSJ </w:t>
      </w:r>
      <w:r w:rsidR="00644973">
        <w:rPr>
          <w:rFonts w:ascii="Verdana" w:hAnsi="Verdana" w:cs="Verdana"/>
          <w:b/>
          <w:bCs/>
          <w:sz w:val="22"/>
          <w:szCs w:val="22"/>
          <w:lang w:val="es-ES" w:eastAsia="es-ES"/>
        </w:rPr>
        <w:t>XXX</w:t>
      </w:r>
      <w:r>
        <w:rPr>
          <w:rFonts w:ascii="Verdana" w:hAnsi="Verdana" w:cs="Verdana"/>
          <w:b/>
          <w:bCs/>
          <w:sz w:val="22"/>
          <w:szCs w:val="22"/>
          <w:lang w:val="es-ES" w:eastAsia="es-ES"/>
        </w:rPr>
        <w:t>, del concesionario E</w:t>
      </w:r>
      <w:r w:rsidR="00644973">
        <w:rPr>
          <w:rFonts w:ascii="Verdana" w:hAnsi="Verdana" w:cs="Verdana"/>
          <w:b/>
          <w:bCs/>
          <w:sz w:val="22"/>
          <w:szCs w:val="22"/>
          <w:lang w:val="es-ES" w:eastAsia="es-ES"/>
        </w:rPr>
        <w:t>.F.C.M.</w:t>
      </w:r>
      <w:r>
        <w:rPr>
          <w:rFonts w:ascii="Verdana" w:hAnsi="Verdana" w:cs="Verdana"/>
          <w:b/>
          <w:bCs/>
          <w:sz w:val="22"/>
          <w:szCs w:val="22"/>
          <w:lang w:val="es-ES" w:eastAsia="es-ES"/>
        </w:rPr>
        <w:t xml:space="preserve"> </w:t>
      </w:r>
      <w:r>
        <w:rPr>
          <w:rFonts w:ascii="Verdana" w:hAnsi="Verdana" w:cs="Verdana"/>
          <w:sz w:val="22"/>
          <w:szCs w:val="22"/>
          <w:lang w:val="es-ES" w:eastAsia="es-ES"/>
        </w:rPr>
        <w:t>por vencimiento del plazo y no gestionar la renovación de la misma. Dicho acuerdo fue not</w:t>
      </w:r>
      <w:r>
        <w:rPr>
          <w:rFonts w:ascii="Verdana" w:hAnsi="Verdana" w:cs="Verdana"/>
          <w:sz w:val="22"/>
          <w:szCs w:val="22"/>
          <w:lang w:val="es-ES" w:eastAsia="es-ES"/>
        </w:rPr>
        <w:t>ificado, según lo certifica el Consejo de Transporte Público el 22 de agosto de 2016. (Léanse folios del 15 al 23 del expediente administrativo).</w:t>
      </w:r>
    </w:p>
    <w:p w:rsidR="00000000" w:rsidRDefault="002401C9">
      <w:pPr>
        <w:kinsoku w:val="0"/>
        <w:overflowPunct w:val="0"/>
        <w:autoSpaceDE/>
        <w:autoSpaceDN/>
        <w:adjustRightInd/>
        <w:spacing w:before="271" w:line="272"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recurrente presenta </w:t>
      </w:r>
      <w:r>
        <w:rPr>
          <w:rFonts w:ascii="Verdana" w:hAnsi="Verdana" w:cs="Verdana"/>
          <w:b/>
          <w:bCs/>
          <w:sz w:val="22"/>
          <w:szCs w:val="22"/>
          <w:lang w:val="es-ES" w:eastAsia="es-ES"/>
        </w:rPr>
        <w:t xml:space="preserve">Recurso de Apelación, nulidad concomitante </w:t>
      </w:r>
      <w:r>
        <w:rPr>
          <w:rFonts w:ascii="Verdana" w:hAnsi="Verdana" w:cs="Verdana"/>
          <w:sz w:val="22"/>
          <w:szCs w:val="22"/>
          <w:lang w:val="es-ES" w:eastAsia="es-ES"/>
        </w:rPr>
        <w:t>contra el acuerdo impugnado, indica</w:t>
      </w:r>
      <w:r>
        <w:rPr>
          <w:rFonts w:ascii="Verdana" w:hAnsi="Verdana" w:cs="Verdana"/>
          <w:sz w:val="22"/>
          <w:szCs w:val="22"/>
          <w:lang w:val="es-ES" w:eastAsia="es-ES"/>
        </w:rPr>
        <w:t>ndo en lo conducente que nunca se le comunicó cita alguna al medio indicado por él para ser notificado. Además, manifiesta que el acto impugnado tampoco se le ha notificado formalmente y no se siguieron los mecanismos de notificación de la corte, considera</w:t>
      </w:r>
      <w:r>
        <w:rPr>
          <w:rFonts w:ascii="Verdana" w:hAnsi="Verdana" w:cs="Verdana"/>
          <w:sz w:val="22"/>
          <w:szCs w:val="22"/>
          <w:lang w:val="es-ES" w:eastAsia="es-ES"/>
        </w:rPr>
        <w:t xml:space="preserve"> que se traspapelaron los documentos. (Léanse folios del 7 al 11 del expediente administrativo).</w:t>
      </w:r>
    </w:p>
    <w:p w:rsidR="00000000" w:rsidRDefault="002401C9">
      <w:pPr>
        <w:kinsoku w:val="0"/>
        <w:overflowPunct w:val="0"/>
        <w:autoSpaceDE/>
        <w:autoSpaceDN/>
        <w:adjustRightInd/>
        <w:spacing w:before="258" w:after="551" w:line="281"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7.5.7 de la Sesión Ordinaria 18-2017 de 4 de mayo de 2017, </w:t>
      </w:r>
      <w:r>
        <w:rPr>
          <w:rFonts w:ascii="Verdana" w:hAnsi="Verdana" w:cs="Verdana"/>
          <w:sz w:val="22"/>
          <w:szCs w:val="22"/>
          <w:lang w:val="es-ES" w:eastAsia="es-ES"/>
        </w:rPr>
        <w:t>conoce y aprueba el</w:t>
      </w:r>
      <w:r>
        <w:rPr>
          <w:rFonts w:ascii="Verdana" w:hAnsi="Verdana" w:cs="Verdana"/>
          <w:sz w:val="22"/>
          <w:szCs w:val="22"/>
          <w:lang w:val="es-ES" w:eastAsia="es-ES"/>
        </w:rPr>
        <w:t xml:space="preserve"> informe de la Dirección de Asuntos Jurídicos </w:t>
      </w:r>
      <w:r>
        <w:rPr>
          <w:rFonts w:ascii="Verdana" w:hAnsi="Verdana" w:cs="Verdana"/>
          <w:b/>
          <w:bCs/>
          <w:sz w:val="22"/>
          <w:szCs w:val="22"/>
          <w:lang w:val="es-ES" w:eastAsia="es-ES"/>
        </w:rPr>
        <w:t xml:space="preserve">DAJ-2017001150 de 28 de abril de 2017 </w:t>
      </w:r>
      <w:r>
        <w:rPr>
          <w:rFonts w:ascii="Verdana" w:hAnsi="Verdana" w:cs="Verdana"/>
          <w:sz w:val="22"/>
          <w:szCs w:val="22"/>
          <w:lang w:val="es-ES" w:eastAsia="es-ES"/>
        </w:rPr>
        <w:t xml:space="preserve">y rechaza el </w:t>
      </w:r>
      <w:r>
        <w:rPr>
          <w:rFonts w:ascii="Verdana" w:hAnsi="Verdana" w:cs="Verdana"/>
          <w:b/>
          <w:bCs/>
          <w:sz w:val="22"/>
          <w:szCs w:val="22"/>
          <w:lang w:val="es-ES" w:eastAsia="es-ES"/>
        </w:rPr>
        <w:t xml:space="preserve">Recurso de Revocatoria, así como la nulidad </w:t>
      </w:r>
      <w:r>
        <w:rPr>
          <w:rFonts w:ascii="Verdana" w:hAnsi="Verdana" w:cs="Verdana"/>
          <w:sz w:val="22"/>
          <w:szCs w:val="22"/>
          <w:lang w:val="es-ES" w:eastAsia="es-ES"/>
        </w:rPr>
        <w:t>por improcedente. (Léanse folios del 1 al 5 del expediente administrativo).</w:t>
      </w:r>
    </w:p>
    <w:p w:rsidR="00000000" w:rsidRDefault="002401C9">
      <w:pPr>
        <w:widowControl/>
        <w:rPr>
          <w:sz w:val="24"/>
          <w:szCs w:val="24"/>
        </w:rPr>
        <w:sectPr w:rsidR="00000000">
          <w:pgSz w:w="12283" w:h="15797"/>
          <w:pgMar w:top="1200" w:right="1526" w:bottom="301" w:left="2117" w:header="720" w:footer="720" w:gutter="0"/>
          <w:cols w:space="720"/>
          <w:noEndnote/>
        </w:sectPr>
      </w:pPr>
    </w:p>
    <w:p w:rsidR="00000000" w:rsidRDefault="002401C9">
      <w:pPr>
        <w:kinsoku w:val="0"/>
        <w:overflowPunct w:val="0"/>
        <w:autoSpaceDE/>
        <w:autoSpaceDN/>
        <w:adjustRightInd/>
        <w:spacing w:before="24" w:line="274"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CUARTO: </w:t>
      </w:r>
      <w:r>
        <w:rPr>
          <w:rFonts w:ascii="Verdana" w:hAnsi="Verdana" w:cs="Verdana"/>
          <w:sz w:val="22"/>
          <w:szCs w:val="22"/>
          <w:lang w:val="es-ES" w:eastAsia="es-ES"/>
        </w:rPr>
        <w:t xml:space="preserve">En respuesta a prevención que girara este Tribunal, el Consejo de Transporte Público eleva una serie de documentos concernientes al expediente de la concesión </w:t>
      </w:r>
      <w:r>
        <w:rPr>
          <w:rFonts w:ascii="Verdana" w:hAnsi="Verdana" w:cs="Verdana"/>
          <w:b/>
          <w:bCs/>
          <w:sz w:val="22"/>
          <w:szCs w:val="22"/>
          <w:lang w:val="es-ES" w:eastAsia="es-ES"/>
        </w:rPr>
        <w:t xml:space="preserve">TSJ </w:t>
      </w:r>
      <w:r w:rsidR="00644973">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de ellos se extrae que el recurren</w:t>
      </w:r>
      <w:r>
        <w:rPr>
          <w:rFonts w:ascii="Verdana" w:hAnsi="Verdana" w:cs="Verdana"/>
          <w:sz w:val="22"/>
          <w:szCs w:val="22"/>
          <w:lang w:val="es-ES" w:eastAsia="es-ES"/>
        </w:rPr>
        <w:t xml:space="preserve">te mediante documento presentado ante el CTP el 3 de marzo de 2015, solicita se le reprograme la cita para la firma del contrato de la concesión e indica como medio para escuchar notificaciones el correo electrónico </w:t>
      </w:r>
      <w:hyperlink r:id="rId5" w:history="1">
        <w:r w:rsidR="00644973" w:rsidRPr="00644973">
          <w:rPr>
            <w:rStyle w:val="Hipervnculo"/>
            <w:rFonts w:ascii="Verdana" w:hAnsi="Verdana" w:cs="Verdana"/>
            <w:color w:val="auto"/>
            <w:sz w:val="22"/>
            <w:szCs w:val="22"/>
            <w:lang w:val="es-ES" w:eastAsia="es-ES"/>
          </w:rPr>
          <w:t>XXXXXXX@hotmail.com</w:t>
        </w:r>
      </w:hyperlink>
      <w:r w:rsidRPr="00644973">
        <w:rPr>
          <w:rFonts w:ascii="Verdana" w:hAnsi="Verdana" w:cs="Verdana"/>
          <w:sz w:val="22"/>
          <w:szCs w:val="22"/>
          <w:u w:val="single"/>
          <w:lang w:val="es-ES" w:eastAsia="es-ES"/>
        </w:rPr>
        <w:t>.</w:t>
      </w:r>
      <w:r w:rsidRPr="00644973">
        <w:rPr>
          <w:rFonts w:ascii="Verdana" w:hAnsi="Verdana" w:cs="Verdana"/>
          <w:sz w:val="22"/>
          <w:szCs w:val="22"/>
          <w:lang w:val="es-ES" w:eastAsia="es-ES"/>
        </w:rPr>
        <w:t xml:space="preserve"> </w:t>
      </w:r>
      <w:r>
        <w:rPr>
          <w:rFonts w:ascii="Verdana" w:hAnsi="Verdana" w:cs="Verdana"/>
          <w:sz w:val="22"/>
          <w:szCs w:val="22"/>
          <w:lang w:val="es-ES" w:eastAsia="es-ES"/>
        </w:rPr>
        <w:t>Es a esta cuenta de correo que se le notifica el día 11 de diciembre de 2015, cita para la firma del contrato de renovación de la concesió</w:t>
      </w:r>
      <w:r>
        <w:rPr>
          <w:rFonts w:ascii="Verdana" w:hAnsi="Verdana" w:cs="Verdana"/>
          <w:sz w:val="22"/>
          <w:szCs w:val="22"/>
          <w:lang w:val="es-ES" w:eastAsia="es-ES"/>
        </w:rPr>
        <w:t>n para el día 16 de diciembre de 2015 a las 9:00 horas, misma a la que no asistió. También a ese mismo medio se le notificó el acto impugnado el 22 de agosto de 2016. (Léanse folios 23 vuelto,64,69,70, 81 y 92 del expediente administrativo)</w:t>
      </w:r>
    </w:p>
    <w:p w:rsidR="00000000" w:rsidRDefault="002401C9">
      <w:pPr>
        <w:kinsoku w:val="0"/>
        <w:overflowPunct w:val="0"/>
        <w:autoSpaceDE/>
        <w:autoSpaceDN/>
        <w:adjustRightInd/>
        <w:spacing w:before="268" w:line="274"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En los </w:t>
      </w:r>
      <w:r>
        <w:rPr>
          <w:rFonts w:ascii="Verdana" w:hAnsi="Verdana" w:cs="Verdana"/>
          <w:sz w:val="22"/>
          <w:szCs w:val="22"/>
          <w:lang w:val="es-ES" w:eastAsia="es-ES"/>
        </w:rPr>
        <w:t>procedimientos seguidos se han observado las prescripciones legales.</w:t>
      </w:r>
    </w:p>
    <w:p w:rsidR="00000000" w:rsidRDefault="002401C9">
      <w:pPr>
        <w:kinsoku w:val="0"/>
        <w:overflowPunct w:val="0"/>
        <w:autoSpaceDE/>
        <w:autoSpaceDN/>
        <w:adjustRightInd/>
        <w:spacing w:before="550" w:line="267" w:lineRule="exact"/>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Redacta la Jueza Pérez Peláez.</w:t>
      </w:r>
    </w:p>
    <w:p w:rsidR="00000000" w:rsidRDefault="002401C9">
      <w:pPr>
        <w:kinsoku w:val="0"/>
        <w:overflowPunct w:val="0"/>
        <w:autoSpaceDE/>
        <w:autoSpaceDN/>
        <w:adjustRightInd/>
        <w:spacing w:before="273" w:line="267"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CONSIDERANDO</w:t>
      </w:r>
    </w:p>
    <w:p w:rsidR="00000000" w:rsidRDefault="002401C9">
      <w:pPr>
        <w:numPr>
          <w:ilvl w:val="0"/>
          <w:numId w:val="1"/>
        </w:numPr>
        <w:kinsoku w:val="0"/>
        <w:overflowPunct w:val="0"/>
        <w:autoSpaceDE/>
        <w:autoSpaceDN/>
        <w:adjustRightInd/>
        <w:spacing w:before="268" w:line="274"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w:t>
      </w:r>
      <w:r>
        <w:rPr>
          <w:rFonts w:ascii="Verdana" w:hAnsi="Verdana" w:cs="Verdana"/>
          <w:sz w:val="22"/>
          <w:szCs w:val="22"/>
          <w:lang w:val="es-ES" w:eastAsia="es-ES"/>
        </w:rPr>
        <w:t xml:space="preserve"> Vehículos en la Modalidad de Taxi, No. 7969 del 22 de diciembre de 1999, publicada el 28 de enero del 2000, el Tribunal Administrativo de Transporte es el Competente para conocer del presente asunto.</w:t>
      </w:r>
    </w:p>
    <w:p w:rsidR="00000000" w:rsidRDefault="002401C9">
      <w:pPr>
        <w:numPr>
          <w:ilvl w:val="0"/>
          <w:numId w:val="1"/>
        </w:numPr>
        <w:kinsoku w:val="0"/>
        <w:overflowPunct w:val="0"/>
        <w:autoSpaceDE/>
        <w:autoSpaceDN/>
        <w:adjustRightInd/>
        <w:spacing w:before="258" w:line="267" w:lineRule="exact"/>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SOBRE LA ADMISIBILIDAD DEL RECURSO</w:t>
      </w:r>
    </w:p>
    <w:p w:rsidR="00000000" w:rsidRDefault="002401C9">
      <w:pPr>
        <w:kinsoku w:val="0"/>
        <w:overflowPunct w:val="0"/>
        <w:autoSpaceDE/>
        <w:autoSpaceDN/>
        <w:adjustRightInd/>
        <w:spacing w:before="273" w:line="274" w:lineRule="exact"/>
        <w:jc w:val="both"/>
        <w:textAlignment w:val="baseline"/>
        <w:rPr>
          <w:rFonts w:ascii="Verdana" w:hAnsi="Verdana" w:cs="Verdana"/>
          <w:sz w:val="22"/>
          <w:szCs w:val="22"/>
          <w:lang w:val="es-ES" w:eastAsia="es-ES"/>
        </w:rPr>
      </w:pPr>
      <w:r>
        <w:rPr>
          <w:rFonts w:ascii="Verdana" w:hAnsi="Verdana" w:cs="Verdana"/>
          <w:b/>
          <w:bCs/>
          <w:sz w:val="22"/>
          <w:szCs w:val="22"/>
          <w:u w:val="single"/>
          <w:lang w:val="es-ES" w:eastAsia="es-ES"/>
        </w:rPr>
        <w:t>En cuanto al plazo d</w:t>
      </w:r>
      <w:r>
        <w:rPr>
          <w:rFonts w:ascii="Verdana" w:hAnsi="Verdana" w:cs="Verdana"/>
          <w:b/>
          <w:bCs/>
          <w:sz w:val="22"/>
          <w:szCs w:val="22"/>
          <w:u w:val="single"/>
          <w:lang w:val="es-ES" w:eastAsia="es-ES"/>
        </w:rPr>
        <w:t>e presentación del recurso:</w:t>
      </w:r>
      <w:r>
        <w:rPr>
          <w:rFonts w:ascii="Verdana" w:hAnsi="Verdana" w:cs="Verdana"/>
          <w:sz w:val="22"/>
          <w:szCs w:val="22"/>
          <w:lang w:val="es-ES" w:eastAsia="es-ES"/>
        </w:rPr>
        <w:t xml:space="preserve"> Conforme al estudio efectuado el Recurso de Apelación fue presentado fuera del plazo legal establecido para tal fin, en los términos del artículo 11 de la Ley Reguladora del Servicio Pú</w:t>
      </w:r>
      <w:r>
        <w:rPr>
          <w:rFonts w:ascii="Verdana" w:hAnsi="Verdana" w:cs="Verdana"/>
          <w:sz w:val="22"/>
          <w:szCs w:val="22"/>
          <w:lang w:val="es-ES" w:eastAsia="es-ES"/>
        </w:rPr>
        <w:t xml:space="preserve">blico de Transporte Remunerado de Personas en vehículos en la modalidad de taxi, Ley N°7969, del 28 de enero del 2000, toda vez que a la fecha de presentación del escrito de Apelación sea ésta </w:t>
      </w:r>
      <w:r>
        <w:rPr>
          <w:rFonts w:ascii="Verdana" w:hAnsi="Verdana" w:cs="Verdana"/>
          <w:b/>
          <w:bCs/>
          <w:sz w:val="22"/>
          <w:szCs w:val="22"/>
          <w:lang w:val="es-ES" w:eastAsia="es-ES"/>
        </w:rPr>
        <w:t xml:space="preserve">17 de noviembre de 2016 (ver folios 6 y 7), </w:t>
      </w:r>
      <w:r>
        <w:rPr>
          <w:rFonts w:ascii="Verdana" w:hAnsi="Verdana" w:cs="Verdana"/>
          <w:sz w:val="22"/>
          <w:szCs w:val="22"/>
          <w:lang w:val="es-ES" w:eastAsia="es-ES"/>
        </w:rPr>
        <w:t>ya había transcurri</w:t>
      </w:r>
      <w:r>
        <w:rPr>
          <w:rFonts w:ascii="Verdana" w:hAnsi="Verdana" w:cs="Verdana"/>
          <w:sz w:val="22"/>
          <w:szCs w:val="22"/>
          <w:lang w:val="es-ES" w:eastAsia="es-ES"/>
        </w:rPr>
        <w:t>do el plazo establecido por ley para recurrir dicho acto.</w:t>
      </w:r>
    </w:p>
    <w:p w:rsidR="00000000" w:rsidRDefault="002401C9">
      <w:pPr>
        <w:kinsoku w:val="0"/>
        <w:overflowPunct w:val="0"/>
        <w:autoSpaceDE/>
        <w:autoSpaceDN/>
        <w:adjustRightInd/>
        <w:spacing w:before="304" w:after="441"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Según se puede verificar del acta de notificación, visible a folio 23 vuelto del expediente, el acuerdo impugnado le fue notificado al recurrente el </w:t>
      </w:r>
      <w:r>
        <w:rPr>
          <w:rFonts w:ascii="Verdana" w:hAnsi="Verdana" w:cs="Verdana"/>
          <w:b/>
          <w:bCs/>
          <w:sz w:val="22"/>
          <w:szCs w:val="22"/>
          <w:lang w:val="es-ES" w:eastAsia="es-ES"/>
        </w:rPr>
        <w:t xml:space="preserve">22 de agosto de 2016, </w:t>
      </w:r>
      <w:r>
        <w:rPr>
          <w:rFonts w:ascii="Verdana" w:hAnsi="Verdana" w:cs="Verdana"/>
          <w:sz w:val="22"/>
          <w:szCs w:val="22"/>
          <w:lang w:val="es-ES" w:eastAsia="es-ES"/>
        </w:rPr>
        <w:t xml:space="preserve">por lo que al día </w:t>
      </w:r>
      <w:r>
        <w:rPr>
          <w:rFonts w:ascii="Verdana" w:hAnsi="Verdana" w:cs="Verdana"/>
          <w:b/>
          <w:bCs/>
          <w:sz w:val="22"/>
          <w:szCs w:val="22"/>
          <w:lang w:val="es-ES" w:eastAsia="es-ES"/>
        </w:rPr>
        <w:t xml:space="preserve">17 de noviembre de 2016 </w:t>
      </w:r>
      <w:r>
        <w:rPr>
          <w:rFonts w:ascii="Verdana" w:hAnsi="Verdana" w:cs="Verdana"/>
          <w:sz w:val="22"/>
          <w:szCs w:val="22"/>
          <w:lang w:val="es-ES" w:eastAsia="es-ES"/>
        </w:rPr>
        <w:t>en que presentó el recurso ya se había superado el plazo determinado en el artículo 11 de la Ley Reguladora del Servicio Público de Transporte Remunerado de Personas en vehículos en la modalidad de taxi, Ley N°7969.</w:t>
      </w:r>
    </w:p>
    <w:p w:rsidR="00000000" w:rsidRDefault="002401C9">
      <w:pPr>
        <w:widowControl/>
        <w:rPr>
          <w:sz w:val="24"/>
          <w:szCs w:val="24"/>
        </w:rPr>
        <w:sectPr w:rsidR="00000000">
          <w:pgSz w:w="12293" w:h="15792"/>
          <w:pgMar w:top="1680" w:right="2097" w:bottom="216" w:left="2136" w:header="720" w:footer="720" w:gutter="0"/>
          <w:cols w:space="720"/>
          <w:noEndnote/>
        </w:sectPr>
      </w:pPr>
    </w:p>
    <w:p w:rsidR="00000000" w:rsidRDefault="002401C9">
      <w:pPr>
        <w:kinsoku w:val="0"/>
        <w:overflowPunct w:val="0"/>
        <w:autoSpaceDE/>
        <w:autoSpaceDN/>
        <w:adjustRightInd/>
        <w:spacing w:before="7"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En este sentido, el artículo 11 de la Ley N° 7969, establece en lo que interesa:</w:t>
      </w:r>
    </w:p>
    <w:p w:rsidR="00000000" w:rsidRDefault="002401C9">
      <w:pPr>
        <w:kinsoku w:val="0"/>
        <w:overflowPunct w:val="0"/>
        <w:autoSpaceDE/>
        <w:autoSpaceDN/>
        <w:adjustRightInd/>
        <w:spacing w:before="269" w:line="229" w:lineRule="exact"/>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"...Contra las resoluciones del Consejo cabrá recurso de revocatoria ante el órgano que dictó el acto, con ap</w:t>
      </w:r>
      <w:r>
        <w:rPr>
          <w:rFonts w:ascii="Verdana" w:hAnsi="Verdana" w:cs="Verdana"/>
          <w:i/>
          <w:iCs/>
          <w:spacing w:val="3"/>
          <w:sz w:val="18"/>
          <w:szCs w:val="18"/>
          <w:lang w:val="es-ES" w:eastAsia="es-ES"/>
        </w:rPr>
        <w:t>elación en subsidio para ante el Tribunal. Ambos recursos deberán interponerse dentro del plazo de cinco días hábiles, contados a partir de la notificación".</w:t>
      </w:r>
    </w:p>
    <w:p w:rsidR="00000000" w:rsidRDefault="002401C9">
      <w:pPr>
        <w:kinsoku w:val="0"/>
        <w:overflowPunct w:val="0"/>
        <w:autoSpaceDE/>
        <w:autoSpaceDN/>
        <w:adjustRightInd/>
        <w:spacing w:before="279" w:line="275"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De conformidad con la norma transcrita anteriormente, se determina que el recurso de apelación ha </w:t>
      </w:r>
      <w:r>
        <w:rPr>
          <w:rFonts w:ascii="Verdana" w:hAnsi="Verdana" w:cs="Verdana"/>
          <w:spacing w:val="3"/>
          <w:sz w:val="22"/>
          <w:szCs w:val="22"/>
          <w:lang w:val="es-ES" w:eastAsia="es-ES"/>
        </w:rPr>
        <w:t>sido presentado de manera extemporánea.</w:t>
      </w:r>
    </w:p>
    <w:p w:rsidR="00000000" w:rsidRDefault="002401C9">
      <w:pPr>
        <w:kinsoku w:val="0"/>
        <w:overflowPunct w:val="0"/>
        <w:autoSpaceDE/>
        <w:autoSpaceDN/>
        <w:adjustRightInd/>
        <w:spacing w:before="283" w:line="266" w:lineRule="exact"/>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DE LA NULIDAD INVOCADA</w:t>
      </w:r>
    </w:p>
    <w:p w:rsidR="00000000" w:rsidRDefault="002401C9">
      <w:pPr>
        <w:kinsoku w:val="0"/>
        <w:overflowPunct w:val="0"/>
        <w:autoSpaceDE/>
        <w:autoSpaceDN/>
        <w:adjustRightInd/>
        <w:spacing w:before="276"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Ahora bien, respecto de la </w:t>
      </w:r>
      <w:r>
        <w:rPr>
          <w:rFonts w:ascii="Verdana" w:hAnsi="Verdana" w:cs="Verdana"/>
          <w:b/>
          <w:bCs/>
          <w:sz w:val="22"/>
          <w:szCs w:val="22"/>
          <w:lang w:val="es-ES" w:eastAsia="es-ES"/>
        </w:rPr>
        <w:t xml:space="preserve">Nulidad </w:t>
      </w:r>
      <w:r>
        <w:rPr>
          <w:rFonts w:ascii="Verdana" w:hAnsi="Verdana" w:cs="Verdana"/>
          <w:sz w:val="22"/>
          <w:szCs w:val="22"/>
          <w:lang w:val="es-ES" w:eastAsia="es-ES"/>
        </w:rPr>
        <w:t>presentada, este Tribunal considera que contrario a lo indicado por el recurrente, el Consejo de Transporte Público ha actuado dentro del marco de la Legalida</w:t>
      </w:r>
      <w:r>
        <w:rPr>
          <w:rFonts w:ascii="Verdana" w:hAnsi="Verdana" w:cs="Verdana"/>
          <w:sz w:val="22"/>
          <w:szCs w:val="22"/>
          <w:lang w:val="es-ES" w:eastAsia="es-ES"/>
        </w:rPr>
        <w:t>d y de sus atribuciones.</w:t>
      </w:r>
    </w:p>
    <w:p w:rsidR="00000000" w:rsidRDefault="002401C9">
      <w:pPr>
        <w:kinsoku w:val="0"/>
        <w:overflowPunct w:val="0"/>
        <w:autoSpaceDE/>
        <w:autoSpaceDN/>
        <w:adjustRightInd/>
        <w:spacing w:before="280" w:line="275"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indicó supra el recurrente presenta </w:t>
      </w:r>
      <w:r>
        <w:rPr>
          <w:rFonts w:ascii="Verdana" w:hAnsi="Verdana" w:cs="Verdana"/>
          <w:b/>
          <w:bCs/>
          <w:sz w:val="22"/>
          <w:szCs w:val="22"/>
          <w:lang w:val="es-ES" w:eastAsia="es-ES"/>
        </w:rPr>
        <w:t xml:space="preserve">Recurso de Apelación con nulidad concomitante </w:t>
      </w:r>
      <w:r>
        <w:rPr>
          <w:rFonts w:ascii="Verdana" w:hAnsi="Verdana" w:cs="Verdana"/>
          <w:sz w:val="22"/>
          <w:szCs w:val="22"/>
          <w:lang w:val="es-ES" w:eastAsia="es-ES"/>
        </w:rPr>
        <w:t>contra el acuerdo impugnado, indicando en lo conducente que nunca se le comunicó cita alguna al medio determinado para escuchar notificacione</w:t>
      </w:r>
      <w:r>
        <w:rPr>
          <w:rFonts w:ascii="Verdana" w:hAnsi="Verdana" w:cs="Verdana"/>
          <w:sz w:val="22"/>
          <w:szCs w:val="22"/>
          <w:lang w:val="es-ES" w:eastAsia="es-ES"/>
        </w:rPr>
        <w:t>s. Además, manifiesta que el acto impugnado tampoco se le ha notificado formalmente.</w:t>
      </w:r>
    </w:p>
    <w:p w:rsidR="00000000" w:rsidRDefault="002401C9">
      <w:pPr>
        <w:kinsoku w:val="0"/>
        <w:overflowPunct w:val="0"/>
        <w:autoSpaceDE/>
        <w:autoSpaceDN/>
        <w:adjustRightInd/>
        <w:spacing w:before="256" w:line="275"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En respuesta a prevención que girara este Tribunal, el Consejo de Transporte Público eleva una serie de documentos concernientes al expediente de la concesión </w:t>
      </w:r>
      <w:r>
        <w:rPr>
          <w:rFonts w:ascii="Verdana" w:hAnsi="Verdana" w:cs="Verdana"/>
          <w:b/>
          <w:bCs/>
          <w:spacing w:val="3"/>
          <w:sz w:val="22"/>
          <w:szCs w:val="22"/>
          <w:lang w:val="es-ES" w:eastAsia="es-ES"/>
        </w:rPr>
        <w:t>TS</w:t>
      </w:r>
      <w:r w:rsidR="00644973">
        <w:rPr>
          <w:rFonts w:ascii="Verdana" w:hAnsi="Verdana" w:cs="Verdana"/>
          <w:b/>
          <w:bCs/>
          <w:spacing w:val="3"/>
          <w:sz w:val="22"/>
          <w:szCs w:val="22"/>
          <w:lang w:val="es-ES" w:eastAsia="es-ES"/>
        </w:rPr>
        <w:t>J</w:t>
      </w:r>
      <w:r>
        <w:rPr>
          <w:rFonts w:ascii="Verdana" w:hAnsi="Verdana" w:cs="Verdana"/>
          <w:b/>
          <w:bCs/>
          <w:spacing w:val="3"/>
          <w:sz w:val="22"/>
          <w:szCs w:val="22"/>
          <w:lang w:val="es-ES" w:eastAsia="es-ES"/>
        </w:rPr>
        <w:t xml:space="preserve"> </w:t>
      </w:r>
      <w:r w:rsidR="00644973">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de ellos se extrae que el recurrente mediante documento presentado ante el CTP el 3 de marzo de 2015, solicita se le reprograme la cita para la firma del contrato de la concesión e indica como medio para escuchar notificaciones el correo electrónico </w:t>
      </w:r>
      <w:r w:rsidR="00644973">
        <w:rPr>
          <w:rFonts w:ascii="Verdana" w:hAnsi="Verdana" w:cs="Verdana"/>
          <w:spacing w:val="3"/>
          <w:sz w:val="22"/>
          <w:szCs w:val="22"/>
          <w:u w:val="single"/>
          <w:lang w:val="es-ES" w:eastAsia="es-ES"/>
        </w:rPr>
        <w:t>XXXXXX@hotmail.com</w:t>
      </w:r>
      <w:r>
        <w:rPr>
          <w:rFonts w:ascii="Verdana" w:hAnsi="Verdana" w:cs="Verdana"/>
          <w:spacing w:val="3"/>
          <w:sz w:val="22"/>
          <w:szCs w:val="22"/>
          <w:u w:val="single"/>
          <w:lang w:val="es-ES" w:eastAsia="es-ES"/>
        </w:rPr>
        <w:t>.</w:t>
      </w:r>
      <w:r>
        <w:rPr>
          <w:rFonts w:ascii="Verdana" w:hAnsi="Verdana" w:cs="Verdana"/>
          <w:spacing w:val="3"/>
          <w:sz w:val="22"/>
          <w:szCs w:val="22"/>
          <w:lang w:val="es-ES" w:eastAsia="es-ES"/>
        </w:rPr>
        <w:t xml:space="preserve"> Es a esta cuenta de correo que se le notifica el día 11 de diciembre de 2015, cita para la firma del contrato de renovación de la concesión para el día 16 de diciembre de 2015 a las 9:00 horas, misma a la que no asistió. Tambié</w:t>
      </w:r>
      <w:r>
        <w:rPr>
          <w:rFonts w:ascii="Verdana" w:hAnsi="Verdana" w:cs="Verdana"/>
          <w:spacing w:val="3"/>
          <w:sz w:val="22"/>
          <w:szCs w:val="22"/>
          <w:lang w:val="es-ES" w:eastAsia="es-ES"/>
        </w:rPr>
        <w:t>n a ese mismo medio se le notificó el acto impugnado el 22 de agosto de 2016. (Léanse folios 23 vuelto,64,69,70, 81 y 92 del expediente administrativo)</w:t>
      </w:r>
    </w:p>
    <w:p w:rsidR="00000000" w:rsidRDefault="002401C9">
      <w:pPr>
        <w:kinsoku w:val="0"/>
        <w:overflowPunct w:val="0"/>
        <w:autoSpaceDE/>
        <w:autoSpaceDN/>
        <w:adjustRightInd/>
        <w:spacing w:before="567" w:after="912" w:line="275"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primer término, debe indicarse que el recurrente, se basa en su dicho, más no aporta prueba alguna qu</w:t>
      </w:r>
      <w:r>
        <w:rPr>
          <w:rFonts w:ascii="Verdana" w:hAnsi="Verdana" w:cs="Verdana"/>
          <w:spacing w:val="2"/>
          <w:sz w:val="22"/>
          <w:szCs w:val="22"/>
          <w:lang w:val="es-ES" w:eastAsia="es-ES"/>
        </w:rPr>
        <w:t>e contraríe de manera fehaciente lo indicado por el Consejo de Transporte Público, por el contrario, la Administración eleva el expediente solicitado por el Tribunal Administrativo de Transporte, en donde consta que al recurrente se le notificó cita para</w:t>
      </w:r>
      <w:r w:rsidR="00644973">
        <w:rPr>
          <w:rFonts w:ascii="Verdana" w:hAnsi="Verdana" w:cs="Verdana"/>
          <w:spacing w:val="2"/>
          <w:sz w:val="22"/>
          <w:szCs w:val="22"/>
          <w:lang w:val="es-ES" w:eastAsia="es-ES"/>
        </w:rPr>
        <w:t xml:space="preserve"> </w:t>
      </w:r>
      <w:r>
        <w:rPr>
          <w:rFonts w:ascii="Verdana" w:hAnsi="Verdana" w:cs="Verdana"/>
          <w:spacing w:val="2"/>
          <w:sz w:val="22"/>
          <w:szCs w:val="22"/>
          <w:lang w:val="es-ES" w:eastAsia="es-ES"/>
        </w:rPr>
        <w:t>l</w:t>
      </w:r>
      <w:r>
        <w:rPr>
          <w:rFonts w:ascii="Verdana" w:hAnsi="Verdana" w:cs="Verdana"/>
          <w:spacing w:val="2"/>
          <w:sz w:val="22"/>
          <w:szCs w:val="22"/>
          <w:lang w:val="es-ES" w:eastAsia="es-ES"/>
        </w:rPr>
        <w:t>a firma del contrato de renovación y</w:t>
      </w:r>
    </w:p>
    <w:p w:rsidR="00000000" w:rsidRDefault="002401C9">
      <w:pPr>
        <w:widowControl/>
        <w:rPr>
          <w:sz w:val="24"/>
          <w:szCs w:val="24"/>
        </w:rPr>
        <w:sectPr w:rsidR="00000000">
          <w:pgSz w:w="12298" w:h="15806"/>
          <w:pgMar w:top="1460" w:right="2084" w:bottom="290" w:left="2098" w:header="720" w:footer="720" w:gutter="0"/>
          <w:cols w:space="720"/>
          <w:noEndnote/>
        </w:sectPr>
      </w:pPr>
    </w:p>
    <w:p w:rsidR="00644973" w:rsidRDefault="00644973">
      <w:pPr>
        <w:kinsoku w:val="0"/>
        <w:overflowPunct w:val="0"/>
        <w:autoSpaceDE/>
        <w:autoSpaceDN/>
        <w:adjustRightInd/>
        <w:spacing w:before="8" w:line="271" w:lineRule="exact"/>
        <w:jc w:val="both"/>
        <w:textAlignment w:val="baseline"/>
        <w:rPr>
          <w:rFonts w:ascii="Verdana" w:hAnsi="Verdana" w:cs="Verdana"/>
          <w:sz w:val="22"/>
          <w:szCs w:val="22"/>
          <w:lang w:val="es-ES" w:eastAsia="es-ES"/>
        </w:rPr>
      </w:pPr>
    </w:p>
    <w:p w:rsidR="00644973" w:rsidRDefault="00644973">
      <w:pPr>
        <w:kinsoku w:val="0"/>
        <w:overflowPunct w:val="0"/>
        <w:autoSpaceDE/>
        <w:autoSpaceDN/>
        <w:adjustRightInd/>
        <w:spacing w:before="8" w:line="271" w:lineRule="exact"/>
        <w:jc w:val="both"/>
        <w:textAlignment w:val="baseline"/>
        <w:rPr>
          <w:rFonts w:ascii="Verdana" w:hAnsi="Verdana" w:cs="Verdana"/>
          <w:sz w:val="22"/>
          <w:szCs w:val="22"/>
          <w:lang w:val="es-ES" w:eastAsia="es-ES"/>
        </w:rPr>
      </w:pPr>
    </w:p>
    <w:p w:rsidR="00000000" w:rsidRDefault="002401C9">
      <w:pPr>
        <w:kinsoku w:val="0"/>
        <w:overflowPunct w:val="0"/>
        <w:autoSpaceDE/>
        <w:autoSpaceDN/>
        <w:adjustRightInd/>
        <w:spacing w:before="8" w:line="271" w:lineRule="exact"/>
        <w:jc w:val="both"/>
        <w:textAlignment w:val="baseline"/>
        <w:rPr>
          <w:rFonts w:ascii="Verdana" w:hAnsi="Verdana" w:cs="Verdana"/>
          <w:sz w:val="22"/>
          <w:szCs w:val="22"/>
          <w:lang w:val="es-ES" w:eastAsia="es-ES"/>
        </w:rPr>
      </w:pPr>
      <w:bookmarkStart w:id="0" w:name="_GoBack"/>
      <w:bookmarkEnd w:id="0"/>
      <w:r>
        <w:rPr>
          <w:rFonts w:ascii="Verdana" w:hAnsi="Verdana" w:cs="Verdana"/>
          <w:sz w:val="22"/>
          <w:szCs w:val="22"/>
          <w:lang w:val="es-ES" w:eastAsia="es-ES"/>
        </w:rPr>
        <w:lastRenderedPageBreak/>
        <w:t>se notificó el acto impugnado precisamente al medio indicado por él. (Visible a folio 90 del expediente administrativo).</w:t>
      </w:r>
    </w:p>
    <w:p w:rsidR="00000000" w:rsidRDefault="002401C9">
      <w:pPr>
        <w:kinsoku w:val="0"/>
        <w:overflowPunct w:val="0"/>
        <w:autoSpaceDE/>
        <w:autoSpaceDN/>
        <w:adjustRightInd/>
        <w:spacing w:before="287" w:line="265" w:lineRule="exact"/>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Por lo dicho no se vislumbra nul</w:t>
      </w:r>
      <w:r>
        <w:rPr>
          <w:rFonts w:ascii="Verdana" w:hAnsi="Verdana" w:cs="Verdana"/>
          <w:spacing w:val="2"/>
          <w:sz w:val="22"/>
          <w:szCs w:val="22"/>
          <w:lang w:val="es-ES" w:eastAsia="es-ES"/>
        </w:rPr>
        <w:t>idad alguna y así debe declararse.</w:t>
      </w:r>
    </w:p>
    <w:p w:rsidR="00000000" w:rsidRDefault="002401C9">
      <w:pPr>
        <w:kinsoku w:val="0"/>
        <w:overflowPunct w:val="0"/>
        <w:autoSpaceDE/>
        <w:autoSpaceDN/>
        <w:adjustRightInd/>
        <w:spacing w:before="824" w:line="274"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POR TANTO</w:t>
      </w:r>
    </w:p>
    <w:p w:rsidR="00000000" w:rsidRDefault="00644973">
      <w:pPr>
        <w:kinsoku w:val="0"/>
        <w:overflowPunct w:val="0"/>
        <w:autoSpaceDE/>
        <w:autoSpaceDN/>
        <w:adjustRightInd/>
        <w:spacing w:before="277" w:line="274" w:lineRule="exact"/>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I</w:t>
      </w:r>
      <w:r w:rsidR="002401C9">
        <w:rPr>
          <w:rFonts w:ascii="Verdana" w:hAnsi="Verdana" w:cs="Verdana"/>
          <w:b/>
          <w:bCs/>
          <w:spacing w:val="2"/>
          <w:sz w:val="22"/>
          <w:szCs w:val="22"/>
          <w:lang w:val="es-ES" w:eastAsia="es-ES"/>
        </w:rPr>
        <w:t xml:space="preserve">- </w:t>
      </w:r>
      <w:r w:rsidR="002401C9">
        <w:rPr>
          <w:rFonts w:ascii="Verdana" w:hAnsi="Verdana" w:cs="Verdana"/>
          <w:spacing w:val="2"/>
          <w:sz w:val="22"/>
          <w:szCs w:val="22"/>
          <w:lang w:val="es-ES" w:eastAsia="es-ES"/>
        </w:rPr>
        <w:t xml:space="preserve">Se Rechaza por </w:t>
      </w:r>
      <w:r w:rsidR="002401C9">
        <w:rPr>
          <w:rFonts w:ascii="Verdana" w:hAnsi="Verdana" w:cs="Verdana"/>
          <w:b/>
          <w:bCs/>
          <w:spacing w:val="2"/>
          <w:sz w:val="22"/>
          <w:szCs w:val="22"/>
          <w:lang w:val="es-ES" w:eastAsia="es-ES"/>
        </w:rPr>
        <w:t>Extemporáneo el Recurso de Apelación y Nulidad Absoluta Concomitante, presentado por E</w:t>
      </w:r>
      <w:r>
        <w:rPr>
          <w:rFonts w:ascii="Verdana" w:hAnsi="Verdana" w:cs="Verdana"/>
          <w:b/>
          <w:bCs/>
          <w:spacing w:val="2"/>
          <w:sz w:val="22"/>
          <w:szCs w:val="22"/>
          <w:lang w:val="es-ES" w:eastAsia="es-ES"/>
        </w:rPr>
        <w:t>.F.C.M.</w:t>
      </w:r>
      <w:r w:rsidR="002401C9">
        <w:rPr>
          <w:rFonts w:ascii="Verdana" w:hAnsi="Verdana" w:cs="Verdana"/>
          <w:b/>
          <w:bCs/>
          <w:spacing w:val="2"/>
          <w:sz w:val="22"/>
          <w:szCs w:val="22"/>
          <w:lang w:val="es-ES" w:eastAsia="es-ES"/>
        </w:rPr>
        <w:t xml:space="preserve">, cédula de identidad </w:t>
      </w:r>
      <w:r>
        <w:rPr>
          <w:rFonts w:ascii="Verdana" w:hAnsi="Verdana" w:cs="Verdana"/>
          <w:b/>
          <w:bCs/>
          <w:spacing w:val="2"/>
          <w:sz w:val="22"/>
          <w:szCs w:val="22"/>
          <w:lang w:val="es-ES" w:eastAsia="es-ES"/>
        </w:rPr>
        <w:t>…</w:t>
      </w:r>
      <w:r w:rsidR="002401C9">
        <w:rPr>
          <w:rFonts w:ascii="Verdana" w:hAnsi="Verdana" w:cs="Verdana"/>
          <w:b/>
          <w:bCs/>
          <w:spacing w:val="2"/>
          <w:sz w:val="22"/>
          <w:szCs w:val="22"/>
          <w:lang w:val="es-ES" w:eastAsia="es-ES"/>
        </w:rPr>
        <w:t>, contra el Artículo 7.2 de la Sesión Ordinari</w:t>
      </w:r>
      <w:r w:rsidR="002401C9">
        <w:rPr>
          <w:rFonts w:ascii="Verdana" w:hAnsi="Verdana" w:cs="Verdana"/>
          <w:b/>
          <w:bCs/>
          <w:spacing w:val="2"/>
          <w:sz w:val="22"/>
          <w:szCs w:val="22"/>
          <w:lang w:val="es-ES" w:eastAsia="es-ES"/>
        </w:rPr>
        <w:t xml:space="preserve">a 40-2016 del 18 de agosto de 2016, </w:t>
      </w:r>
      <w:r w:rsidR="002401C9">
        <w:rPr>
          <w:rFonts w:ascii="Verdana" w:hAnsi="Verdana" w:cs="Verdana"/>
          <w:spacing w:val="2"/>
          <w:sz w:val="22"/>
          <w:szCs w:val="22"/>
          <w:lang w:val="es-ES" w:eastAsia="es-ES"/>
        </w:rPr>
        <w:t>dictado por la JUNTA DIRECTIVA DEL CONSEJO DE TRANSPORTE PÚBLICO</w:t>
      </w:r>
    </w:p>
    <w:p w:rsidR="00000000" w:rsidRDefault="002401C9" w:rsidP="00644973">
      <w:pPr>
        <w:kinsoku w:val="0"/>
        <w:overflowPunct w:val="0"/>
        <w:autoSpaceDE/>
        <w:autoSpaceDN/>
        <w:adjustRightInd/>
        <w:spacing w:before="286" w:line="274"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II.- </w:t>
      </w: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tiene por agotada</w:t>
      </w:r>
      <w:r>
        <w:rPr>
          <w:rFonts w:ascii="Verdana" w:hAnsi="Verdana" w:cs="Verdana"/>
          <w:i/>
          <w:iCs/>
          <w:sz w:val="22"/>
          <w:szCs w:val="22"/>
          <w:lang w:val="es-ES" w:eastAsia="es-ES"/>
        </w:rPr>
        <w:t xml:space="preserve"> la vía administrativa. </w:t>
      </w:r>
      <w:r>
        <w:rPr>
          <w:rFonts w:ascii="Verdana" w:hAnsi="Verdana" w:cs="Verdana"/>
          <w:b/>
          <w:bCs/>
          <w:sz w:val="22"/>
          <w:szCs w:val="22"/>
          <w:lang w:val="es-ES" w:eastAsia="es-ES"/>
        </w:rPr>
        <w:t xml:space="preserve">NOTIFÍQUESE. </w:t>
      </w:r>
      <w:r w:rsidR="00644973">
        <w:rPr>
          <w:rFonts w:ascii="Verdana" w:hAnsi="Verdana" w:cs="Verdana"/>
          <w:b/>
          <w:bCs/>
          <w:sz w:val="22"/>
          <w:szCs w:val="22"/>
          <w:lang w:val="es-ES" w:eastAsia="es-ES"/>
        </w:rPr>
        <w:t>–</w:t>
      </w:r>
    </w:p>
    <w:p w:rsidR="00644973" w:rsidRDefault="00644973" w:rsidP="00644973">
      <w:pPr>
        <w:kinsoku w:val="0"/>
        <w:overflowPunct w:val="0"/>
        <w:autoSpaceDE/>
        <w:autoSpaceDN/>
        <w:adjustRightInd/>
        <w:spacing w:before="286" w:line="274" w:lineRule="exact"/>
        <w:jc w:val="both"/>
        <w:textAlignment w:val="baseline"/>
        <w:rPr>
          <w:rFonts w:ascii="Verdana" w:hAnsi="Verdana" w:cs="Verdana"/>
          <w:b/>
          <w:bCs/>
          <w:sz w:val="22"/>
          <w:szCs w:val="22"/>
          <w:lang w:val="es-ES" w:eastAsia="es-ES"/>
        </w:rPr>
      </w:pPr>
    </w:p>
    <w:p w:rsidR="00644973" w:rsidRDefault="00644973" w:rsidP="00644973">
      <w:pPr>
        <w:kinsoku w:val="0"/>
        <w:overflowPunct w:val="0"/>
        <w:autoSpaceDE/>
        <w:autoSpaceDN/>
        <w:adjustRightInd/>
        <w:spacing w:after="195" w:line="547" w:lineRule="exact"/>
        <w:ind w:right="72"/>
        <w:textAlignment w:val="baseline"/>
        <w:rPr>
          <w:sz w:val="24"/>
          <w:szCs w:val="24"/>
        </w:rPr>
      </w:pPr>
    </w:p>
    <w:p w:rsidR="00644973" w:rsidRPr="00CF40A0" w:rsidRDefault="00644973" w:rsidP="00644973">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44973" w:rsidRDefault="00644973" w:rsidP="00644973">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644973" w:rsidRPr="00FC408E" w:rsidRDefault="00644973" w:rsidP="00644973">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644973" w:rsidRDefault="00644973" w:rsidP="00644973">
      <w:pPr>
        <w:kinsoku w:val="0"/>
        <w:overflowPunct w:val="0"/>
        <w:autoSpaceDE/>
        <w:autoSpaceDN/>
        <w:adjustRightInd/>
        <w:spacing w:before="286" w:line="274" w:lineRule="exact"/>
        <w:jc w:val="both"/>
        <w:textAlignment w:val="baseline"/>
        <w:rPr>
          <w:sz w:val="24"/>
          <w:szCs w:val="24"/>
        </w:rPr>
      </w:pPr>
    </w:p>
    <w:p w:rsidR="00000000" w:rsidRDefault="002401C9">
      <w:pPr>
        <w:kinsoku w:val="0"/>
        <w:overflowPunct w:val="0"/>
        <w:autoSpaceDE/>
        <w:autoSpaceDN/>
        <w:adjustRightInd/>
        <w:spacing w:before="6493" w:line="288" w:lineRule="exact"/>
        <w:textAlignment w:val="baseline"/>
        <w:rPr>
          <w:sz w:val="24"/>
          <w:szCs w:val="24"/>
        </w:rPr>
        <w:sectPr w:rsidR="00000000">
          <w:type w:val="continuous"/>
          <w:pgSz w:w="12298" w:h="15806"/>
          <w:pgMar w:top="1400" w:right="1985" w:bottom="223" w:left="2137" w:header="720" w:footer="720" w:gutter="0"/>
          <w:cols w:space="720"/>
          <w:noEndnote/>
        </w:sectPr>
      </w:pPr>
    </w:p>
    <w:p w:rsidR="002401C9" w:rsidRDefault="002401C9" w:rsidP="00644973">
      <w:pPr>
        <w:tabs>
          <w:tab w:val="right" w:pos="2808"/>
        </w:tabs>
        <w:kinsoku w:val="0"/>
        <w:overflowPunct w:val="0"/>
        <w:autoSpaceDE/>
        <w:autoSpaceDN/>
        <w:adjustRightInd/>
        <w:spacing w:line="247" w:lineRule="exact"/>
        <w:ind w:left="72"/>
        <w:textAlignment w:val="baseline"/>
        <w:rPr>
          <w:rFonts w:ascii="Verdana" w:hAnsi="Verdana" w:cs="Verdana"/>
          <w:sz w:val="22"/>
          <w:szCs w:val="22"/>
          <w:lang w:val="es-ES" w:eastAsia="es-ES"/>
        </w:rPr>
      </w:pPr>
    </w:p>
    <w:sectPr w:rsidR="002401C9">
      <w:type w:val="continuous"/>
      <w:pgSz w:w="12298" w:h="15806"/>
      <w:pgMar w:top="1400" w:right="1985" w:bottom="223" w:left="74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98F8"/>
    <w:multiLevelType w:val="singleLevel"/>
    <w:tmpl w:val="7DB58174"/>
    <w:lvl w:ilvl="0">
      <w:start w:val="1"/>
      <w:numFmt w:val="decimal"/>
      <w:lvlText w:val="%1.-"/>
      <w:lvlJc w:val="left"/>
      <w:pPr>
        <w:tabs>
          <w:tab w:val="num" w:pos="432"/>
        </w:tabs>
      </w:pPr>
      <w:rPr>
        <w:rFonts w:ascii="Verdana" w:hAnsi="Verdana" w:cs="Verdana"/>
        <w:b/>
        <w:bCs/>
        <w:snapToGrid/>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73"/>
    <w:rsid w:val="002401C9"/>
    <w:rsid w:val="006449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29A11"/>
  <w14:defaultImageDpi w14:val="0"/>
  <w15:docId w15:val="{490456DC-336D-4A50-858A-C1177366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4973"/>
    <w:rPr>
      <w:color w:val="0563C1" w:themeColor="hyperlink"/>
      <w:u w:val="single"/>
    </w:rPr>
  </w:style>
  <w:style w:type="character" w:styleId="Mencinsinresolver">
    <w:name w:val="Unresolved Mention"/>
    <w:basedOn w:val="Fuentedeprrafopredeter"/>
    <w:uiPriority w:val="99"/>
    <w:semiHidden/>
    <w:unhideWhenUsed/>
    <w:rsid w:val="00644973"/>
    <w:rPr>
      <w:color w:val="808080"/>
      <w:shd w:val="clear" w:color="auto" w:fill="E6E6E6"/>
    </w:rPr>
  </w:style>
  <w:style w:type="paragraph" w:customStyle="1" w:styleId="Style1">
    <w:name w:val="Style 1"/>
    <w:basedOn w:val="Normal"/>
    <w:uiPriority w:val="99"/>
    <w:rsid w:val="00644973"/>
    <w:rPr>
      <w:lang w:val="es-CR"/>
    </w:rPr>
  </w:style>
  <w:style w:type="character" w:customStyle="1" w:styleId="CharacterStyle1">
    <w:name w:val="Character Style 1"/>
    <w:uiPriority w:val="99"/>
    <w:rsid w:val="006449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2017-06-20T18:18:00Z</dcterms:created>
  <dcterms:modified xsi:type="dcterms:W3CDTF">2017-06-20T18:18:00Z</dcterms:modified>
</cp:coreProperties>
</file>